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353</w:t>
      </w:r>
    </w:p>
    <w:p>
      <w:r>
        <w:t>Bundesgericht (BGE), 2001-10-15, FR</w:t>
      </w:r>
    </w:p>
    <w:p>
      <w:r>
        <w:rPr>
          <w:b/>
        </w:rPr>
        <w:t xml:space="preserve">Quelle: </w:t>
      </w:r>
      <w:r>
        <w:t>https://mcp.opencaselaw.ch/entscheid/bge_127 V 353</w:t>
      </w:r>
    </w:p>
    <w:p>
      <w:r>
        <w:t>FR: ATF 127 V 353</w:t>
      </w:r>
    </w:p>
    <w:p>
      <w:r>
        <w:t>IT: DTF 127 V 353</w:t>
      </w:r>
    </w:p>
    <w:p>
      <w:pPr>
        <w:pStyle w:val="Heading2"/>
      </w:pPr>
      <w:r>
        <w:t>Regeste</w:t>
      </w:r>
    </w:p>
    <w:p>
      <w:r>
        <w:t>Regeste Art. 108 Abs. 2 in Verbindung mit Art. 132 OG: Zulässigkeit neuer Akten. - Nach Ablauf der Rechtsmittelfrist können - ausser im Rahmen eines zweiten Schriftenwechsels - keine neuen Akten mehr eingebracht werden (Änderung der Rechtsprechung). - Vorzubehalten ist immerhin der Fall, dass solche Aktenstücke neue erhebliche Tatsachen oder entscheidende Beweismittel im Sinne von Art. 137 lit. b OG darstellen und als solche eine Revision des Gerichtsurteils rechtfertigen könnten.</w:t>
      </w:r>
    </w:p>
    <w:p>
      <w:pPr>
        <w:pStyle w:val="Heading2"/>
      </w:pPr>
      <w:r>
        <w:t>Erwägungen</w:t>
      </w:r>
    </w:p>
    <w:p>
      <w:r>
        <w:rPr>
          <w:b/>
        </w:rPr>
        <w:t>E. 1</w:t>
      </w:r>
    </w:p>
    <w:p>
      <w:r>
        <w:t>Aux termes de l'art. 108 al. 2 en corrélation avec l' art. 132 OJ , le mémoire de recours indique les conclusions, motifs et moyens de preuve et porte la signature du recourant ou de son mandataire; celui-ci y joint l'expédition de la décision attaquée et les pièces invoquées comme moyens de preuve, lorsqu'elles se trouvent en ses mains.</w:t>
      </w:r>
    </w:p>
    <w:p>
      <w:r>
        <w:rPr>
          <w:b/>
        </w:rPr>
        <w:t>E. 2</w:t>
      </w:r>
    </w:p>
    <w:p>
      <w:r>
        <w:t>Selon sa jurisprudence, le Tribunal fédéral des assurances prend en considération, dans les procédures soumises à l' art. 132 OJ , les écritures et moyens de preuve présentés après l'expiration du délai de recours, lorsque ceux-ci lui paraissent pertinents (VSI 2000 p. 310 sv. ad let. C et consid. 2b; RCC 1986 p. 202 sv. consid. 3b, 1980 p. 415 consid. 2). En revanche, le Tribunal fédéral se montre plus strict et n'admet pas la production de pièces nouvelles après l'échéance du délai de recours, sauf dans le cadre d'un deuxième échange d'écritures ( ATF 109 Ib 249 consid. 3c; arrêt H. du 25 février 2000 [2A.459/1999] et arrêt non publié B. du 10 octobre 1997 [2A.616/1996]).</w:t>
      </w:r>
    </w:p>
    <w:p>
      <w:r>
        <w:rPr>
          <w:b/>
        </w:rPr>
        <w:t>E. 3</w:t>
      </w:r>
    </w:p>
    <w:p>
      <w:r>
        <w:t>a)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126 V 40 consid. 5a et les références, ATF 126 I 129 consid. 5 et les références). b) Vu qu'il existe une pratique divergente entre les deux tribunaux fédéraux, les motifs de la jurisprudence du Tribunal fédéral des BGE 127 V 353 S. 356 assurances méritent d'être reconsidérés. En effet, même dans les procédures où la Cour de céans n'est pas liée par la constatation de l'état de fait ( art. 132 let. b OJ ), il ne se justifie plus de déroger à la règle de l' art. 108 al. 2 OJ d'après laquelle le mémoire de recours doit indiquer, notamment, les moyens de preuve. La production, après l'échéance du délai de recours ( art. 106 al. 1 OJ ), de nouveaux moyens de preuve, non annoncés et/ou non requis, n'est, en principe, pas admissible. Le sens littéral de l' art. 108 al. 2 OJ est clair. Que ce soit le texte français - qui parle des pièces invoquées comme moyens de preuve, lorsqu'elles se trouvent en mains du recourant -, allemand - "die als Beweismittel angerufenen Urkunden ..., soweit der Beschwerdeführer sie in Händen hat" - ou italien - "documenti indicati come mezzi di prova, se sono in possesso del ricorrente" -, il ne peut s'agir que de pièces qui existent déjà. Ce sens littéral correspond à la volonté du législateur de réunir, d'adapter et de compléter dans cette disposition de la loi les prescriptions réglant les documents à produire (Message du Conseil fédéral du 24 septembre 1965 concernant l'extension de la juridiction administrative fédérale, FF 1965 II 1301). Par pièces (voir aussi art. 33 PCF ), il faut entendre les titres au sens des art. 50 ss PCF en liaison avec l' art. 40 OJ (OSCAR VOGEL, Grundriss des Zivilprozessrechts und des internationalen Zivilprozessrechts der Schweiz, 6ème édition, Berne 1999, p. 279 ss; MEYER-BLASER, Die Rechtspflege in der Sozialversicherung, in: BJM 1989 p. 29), à savoir les titres que le justiciable ( art. 50 PCF ) ou les tiers ( art. 51 PCF ) détiennent et qu'ils sont tenus de produire (MAX KUMMER, Grundriss des Zivilprozessrechts, 4ème édition, Berne 1984, p. 132; FRANK/STRÄULI/MESSMER, Kommentar zur zürcherischen Zivilprozessordnung, 3ème édition, Zurich 1997, Vorbemerkungen zu § 183 ss ch.m. 4 p. 528, § 183 ch.m. 5 p. 531 et § 184 ch.m. 1 p. 533). Il ne saurait s'agir de preuves futures, notamment d'expertises. Il n'est donc pas admissible qu'une partie annonce son intention de produire un futur moyen de preuve après l'expiration du délai de recours ou qu'elle demande à cette fin la suspension de la procédure (arrêt G. du 6 novembre 2000 [I 158/00]). Les pièces invoquées comme moyens de preuve ne peuvent être que des titres qui existent déjà, susceptibles d'être déposés devant le tribunal dans le délai légal ( art. 106 al. 1 OJ ), qui n'est pas extensible ( ATF 126 III 31 consid. 1b). BGE 127 V 353 S. 357 c) La voie suivie jusqu'ici par le Tribunal fédéral des assurances peut également être une source d'inégalité de traitement, dans la mesure où elle favorise les justiciables qui produisent hors délai de nouvelles pièces par rapport à ceux qui s'en tiennent à la règle de l' art. 108 al. 2 OJ . En outre, les nouvelles pièces produites étant souvent des rapports médicaux qui tiennent compte de l'évolution de l'état de santé de l'assuré à partir du moment où la décision litigieuse a été rendue, elle a pour défaut de rendre problématiques les règles sur la révision ( art. 41 LAI , art. 22 LAA ).</w:t>
      </w:r>
    </w:p>
    <w:p>
      <w:r>
        <w:rPr>
          <w:b/>
        </w:rPr>
        <w:t>E. 4</w:t>
      </w:r>
    </w:p>
    <w:p>
      <w:r>
        <w:t>a) Pour ces motifs pertinents, il se justifie d'aligner dorénavant la jurisprudence du Tribunal fédéral des assurances sur celle du Tribunal fédéral et de ne plus admettre la production de pièces nouvelles après l'échéance du délai de recours, sauf dans le cadre d'un deuxième échange d'écritures ( ATF 109 Ib 249 consid. 3c déjà cité, ATF 99 Ib 89 consid. 1; d'avis contraire lorsque l'autorité attaquée est une autorité administrative: KÖLZ/HÄNER, Verwaltungsverfahren und Verwaltungsrechtspflege des Bundes, 2e édition, Zurich 1998, no 944 p. 334 et ATTILIO R. GADOLA, Das verwaltungsinterne Beschwerdeverfahren, Zurich 1991, p. 385 ss). Cela fait partie de l'ordre de la procédure. Un deuxième échange d'écritures n'a lieu qu'exceptionnellement ( art. 110 al. 4 OJ ) et seulement si le juge délégué ou la Chambre du tribunal le décide ( ATF 119 V 323 consid. 1 et les références). b) Il convient toutefois de réserver les cas où des pièces produites après l'échéance du délai de recours ou la clôture du deuxième échange d'écritures constituent des faits nouveaux importants ou des preuves concluantes au sens de l' art. 137 let. b OJ et pourraient, le cas échéant, justifier la révision de l'arrêt du tribunal. De telles pièces doivent être prises en considération, nonobstant leur production hors délai.</w:t>
      </w:r>
    </w:p>
    <w:p>
      <w:r>
        <w:rPr>
          <w:b/>
        </w:rPr>
        <w:t>E. 5</w:t>
      </w:r>
    </w:p>
    <w:p>
      <w:r>
        <w:t>a) L'expertise rhumatologique du docteur J. du 6 juillet 1999, dont le recourant reprend dans son écriture du 18 octobre 1999 les conclusions en ce qui concerne la diminution de sa capacité de travail sur le plan psychique, est largement postérieure à l'échéance du délai de recours. Il en va de même de la décision du 24 mai 2000 par laquelle l'office AI alloue au recourant une rente entière d'invalidité à partir du 1er juillet 1997, pour une incapacité de gain de 70%. Il faut dès lors examiner s'il s'agit là de faits nouveaux importants ou de preuves concluantes au sens de l' art. 137 let. b OJ dans le cadre du présent procès qui a pour objet le point de savoir si les BGE 127 V 353 S. 358 troubles dont est atteint le recourant ne sont plus en relation de causalité naturelle et adéquate avec l'accident du 11 juillet 1996, l'intimée ayant pour ce motif mis fin le 21 juin 1998 au paiement de l'indemnité journalière et des frais de traitement. b) Sont "nouveaux" au sens de l' art. 137 let. b OJ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ATF 108 V 171 consid. 1; voir aussi ATF 121 IV 322 consid. 2, ATF 118 II 205 consid. 5). c) L'expertise rhumatologique du docteur J., du 6 juillet 1999, porte sur la capacité de travail du recourant sur le plan psychique. Il en ressort qu'il présente une incapacité de travail dans toute profession lucrative, pour des motifs psychiatriques essentiellement, dont le taux était de 70% lors de l'expertise. BGE 127 V 353 S. 359 Cette expertise n'est cependant pas de nature à entraîner une modification de l'arrêt dans un sens favorable au recourant (POUDRET, Commentaire de la loi fédérale d'organisation judiciaire, vol. V, p. 32, n. 2.3.2 ad art. 137). Bien au contraire, puisque le docteur J. a posé le diagnostic de "comportement-maladie" pathologique et histrionique chez un assuré présentant une probable personnalité de type borderline. Ce diagnostic, quand bien même l'expertise ne portait pas sur le point de savoir si l'incapacité de travail d'origine psychique est imputable à l'accident du 11 juillet 1996, ne parle pas en faveur de la causalité naturelle. En conséquence, l'écriture du recourant du 18 octobre 1999 et la décision de l'office AI du 24 mai 2000, qui se fondent sur cette expertise pour conclure à une invalidité médico-théorique de 70%, ne peuvent être prises en considération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